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50"/>
        <w:tblW w:w="9634" w:type="dxa"/>
        <w:tblLook w:val="04A0"/>
      </w:tblPr>
      <w:tblGrid>
        <w:gridCol w:w="9634"/>
      </w:tblGrid>
      <w:tr w:rsidR="002B1D42" w:rsidRPr="00541956" w:rsidTr="00F46B25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25"/>
              <w:gridCol w:w="1400"/>
              <w:gridCol w:w="4093"/>
            </w:tblGrid>
            <w:tr w:rsidR="00325B82" w:rsidTr="00325B82">
              <w:tc>
                <w:tcPr>
                  <w:tcW w:w="4106" w:type="dxa"/>
                </w:tcPr>
                <w:p w:rsidR="00325B82" w:rsidRPr="00325B82" w:rsidRDefault="00325B82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25B82" w:rsidRPr="00484E2A" w:rsidRDefault="00484E2A" w:rsidP="00484E2A">
                  <w:pPr>
                    <w:framePr w:hSpace="180" w:wrap="around" w:hAnchor="margin" w:xAlign="center" w:y="45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ПРОЕКТ</w:t>
                  </w:r>
                </w:p>
              </w:tc>
              <w:tc>
                <w:tcPr>
                  <w:tcW w:w="4168" w:type="dxa"/>
                </w:tcPr>
                <w:p w:rsidR="00E620D9" w:rsidRDefault="00E620D9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25B82" w:rsidRPr="00A177FC" w:rsidRDefault="00325B82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УТВЕРЖДАЮ</w:t>
                  </w:r>
                </w:p>
                <w:p w:rsidR="00A52077" w:rsidRPr="00A177FC" w:rsidRDefault="00A52077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Генеральный директор</w:t>
                  </w:r>
                </w:p>
                <w:p w:rsidR="00A52077" w:rsidRPr="00A177FC" w:rsidRDefault="00A52077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АО «Ярославский бройлер»</w:t>
                  </w:r>
                </w:p>
                <w:p w:rsidR="00A52077" w:rsidRPr="00A177FC" w:rsidRDefault="00A52077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25B82" w:rsidRPr="00A177FC" w:rsidRDefault="00A52077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______________Силин</w:t>
                  </w:r>
                  <w:proofErr w:type="spellEnd"/>
                  <w:r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Г.Г.</w:t>
                  </w:r>
                </w:p>
                <w:p w:rsidR="00A52077" w:rsidRPr="00A177FC" w:rsidRDefault="00A52077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B82" w:rsidRPr="00A177FC" w:rsidRDefault="004424A6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="00C83846" w:rsidRPr="00C8384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17</w:t>
                  </w:r>
                  <w:r w:rsidR="00C8384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25B82"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Pr="004424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февраля</w:t>
                  </w:r>
                  <w:r w:rsidR="00DC20D3"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 w:rsidR="00325B82"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="00A52077" w:rsidRPr="004424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="00F523AD"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25B82" w:rsidRPr="00A17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</w:t>
                  </w:r>
                </w:p>
                <w:p w:rsidR="00325B82" w:rsidRPr="00A177FC" w:rsidRDefault="00325B82" w:rsidP="0015194D">
                  <w:pPr>
                    <w:framePr w:hSpace="180" w:wrap="around" w:hAnchor="margin" w:xAlign="center" w:y="45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4B45" w:rsidRPr="00541956" w:rsidRDefault="00B84B45" w:rsidP="000274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D42" w:rsidRPr="00541956" w:rsidTr="00F46B25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B45" w:rsidRPr="00541956" w:rsidRDefault="00B84B45" w:rsidP="00027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E1B" w:rsidRPr="00541956" w:rsidRDefault="00212B8C" w:rsidP="00027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5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ЗАДАНИЕ</w:t>
            </w:r>
          </w:p>
          <w:p w:rsidR="005F4DF7" w:rsidRDefault="003D3E19" w:rsidP="005F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95991" w:rsidRPr="0054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5F4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оценки воздействия </w:t>
            </w:r>
          </w:p>
          <w:p w:rsidR="005F4DF7" w:rsidRPr="002B250F" w:rsidRDefault="005F4DF7" w:rsidP="005F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окружающую среду (ОВОС) </w:t>
            </w:r>
            <w:r w:rsidR="002B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="008E793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строительстве</w:t>
            </w:r>
            <w:r w:rsidR="002B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объекта:</w:t>
            </w:r>
          </w:p>
          <w:p w:rsidR="002B250F" w:rsidRPr="002B250F" w:rsidRDefault="00484E2A" w:rsidP="005F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9324216"/>
            <w:r w:rsidRPr="00484E2A">
              <w:rPr>
                <w:rFonts w:ascii="Times New Roman" w:hAnsi="Times New Roman" w:cs="Times New Roman"/>
                <w:b/>
                <w:sz w:val="24"/>
                <w:szCs w:val="24"/>
              </w:rPr>
              <w:t>«Зона выращивания бройлер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№2» АО «Ярославский бройлер»</w:t>
            </w:r>
            <w:r w:rsidRPr="0048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8E7933" w:rsidRPr="008E7933">
              <w:rPr>
                <w:rFonts w:ascii="Times New Roman" w:hAnsi="Times New Roman" w:cs="Times New Roman"/>
                <w:b/>
                <w:sz w:val="24"/>
                <w:szCs w:val="24"/>
              </w:rPr>
              <w:t>тичник</w:t>
            </w:r>
            <w:r w:rsidR="008E793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E7933" w:rsidRPr="008E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№12, №14, №15, №16, №17, №18, №19, №20 на 125 000 бройлеров каждый</w:t>
            </w:r>
            <w:r w:rsidR="002B250F" w:rsidRPr="00A5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АО «Ярославский бройлер»</w:t>
            </w:r>
            <w:r w:rsidR="002B250F" w:rsidRPr="002B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адресу: Ярославская область, </w:t>
            </w:r>
            <w:proofErr w:type="spellStart"/>
            <w:r w:rsidR="002B250F" w:rsidRPr="002B250F">
              <w:rPr>
                <w:rFonts w:ascii="Times New Roman" w:hAnsi="Times New Roman" w:cs="Times New Roman"/>
                <w:b/>
                <w:sz w:val="24"/>
                <w:szCs w:val="24"/>
              </w:rPr>
              <w:t>Рыбинский</w:t>
            </w:r>
            <w:proofErr w:type="spellEnd"/>
            <w:r w:rsidR="002B250F" w:rsidRPr="002B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Октябрьский сельский округ, п. Октябрьский</w:t>
            </w:r>
          </w:p>
          <w:bookmarkEnd w:id="0"/>
          <w:p w:rsidR="00285933" w:rsidRDefault="00285933" w:rsidP="0028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33" w:rsidRPr="002B250F" w:rsidRDefault="00285933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B250F">
              <w:rPr>
                <w:b/>
                <w:bCs/>
                <w:u w:val="single"/>
              </w:rPr>
              <w:t xml:space="preserve"> </w:t>
            </w:r>
            <w:r w:rsidRPr="002B2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Наименование объекта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285933" w:rsidTr="00285933">
              <w:tc>
                <w:tcPr>
                  <w:tcW w:w="9403" w:type="dxa"/>
                </w:tcPr>
                <w:p w:rsidR="00285933" w:rsidRDefault="00484E2A" w:rsidP="00484E2A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38A">
                    <w:rPr>
                      <w:rFonts w:ascii="Times New Roman" w:hAnsi="Times New Roman"/>
                      <w:sz w:val="24"/>
                    </w:rPr>
                    <w:t>«Зона выращивания бройлеров №2» АО «Ярославский бройлер». Птичники №12, №14, №15, №16, №17, №18, №19, №20 на 125 тыс. бройлеров каждый</w:t>
                  </w:r>
                  <w:r w:rsidRPr="00030684"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c>
            </w:tr>
          </w:tbl>
          <w:p w:rsidR="00932B18" w:rsidRDefault="00932B18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85933" w:rsidRPr="002B250F" w:rsidRDefault="00285933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2B250F">
              <w:rPr>
                <w:b/>
                <w:bCs/>
                <w:u w:val="single"/>
              </w:rPr>
              <w:t xml:space="preserve"> </w:t>
            </w:r>
            <w:r w:rsidRPr="002B2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Местоположение объекта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285933" w:rsidTr="00E22482">
              <w:tc>
                <w:tcPr>
                  <w:tcW w:w="9403" w:type="dxa"/>
                </w:tcPr>
                <w:p w:rsidR="00285933" w:rsidRDefault="002B250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2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2B2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Рыбинский</w:t>
                  </w:r>
                  <w:proofErr w:type="spellEnd"/>
                  <w:r w:rsidRPr="002B2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Октябрьский сельский округ, п. Октябрьский</w:t>
                  </w:r>
                </w:p>
              </w:tc>
            </w:tr>
          </w:tbl>
          <w:p w:rsidR="00932B18" w:rsidRDefault="00932B18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85933" w:rsidRPr="002B250F" w:rsidRDefault="00285933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Pr="002B250F">
              <w:rPr>
                <w:b/>
                <w:bCs/>
                <w:u w:val="single"/>
              </w:rPr>
              <w:t xml:space="preserve"> </w:t>
            </w:r>
            <w:r w:rsidR="00787BF1" w:rsidRPr="002B2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285933" w:rsidTr="00E22482">
              <w:tc>
                <w:tcPr>
                  <w:tcW w:w="9403" w:type="dxa"/>
                </w:tcPr>
                <w:p w:rsidR="00787BF1" w:rsidRPr="00787BF1" w:rsidRDefault="002B250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«Ярославский бройлер»</w:t>
                  </w:r>
                  <w:r w:rsidR="00787BF1" w:rsidRPr="00787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(АО «Ярославский бройлер»</w:t>
                  </w:r>
                  <w:r w:rsidR="00787BF1" w:rsidRPr="00787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85933" w:rsidRDefault="002B250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2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2B2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Рыбинский</w:t>
                  </w:r>
                  <w:proofErr w:type="spellEnd"/>
                  <w:r w:rsidRPr="002B2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Октябрьский сельский округ, п. Октябрьский</w:t>
                  </w:r>
                </w:p>
              </w:tc>
            </w:tr>
          </w:tbl>
          <w:p w:rsidR="00932B18" w:rsidRDefault="00932B18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87BF1" w:rsidRPr="002B250F" w:rsidRDefault="00787BF1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 Источник финансирования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787BF1" w:rsidTr="00E22482">
              <w:tc>
                <w:tcPr>
                  <w:tcW w:w="9403" w:type="dxa"/>
                </w:tcPr>
                <w:p w:rsidR="00787BF1" w:rsidRDefault="00787BF1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Инвестиционный бюджет </w:t>
                  </w:r>
                  <w:r w:rsidR="002B2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«Ярославский бройлер»</w:t>
                  </w:r>
                </w:p>
              </w:tc>
            </w:tr>
          </w:tbl>
          <w:p w:rsidR="00932B18" w:rsidRDefault="00932B18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87BF1" w:rsidRPr="002B250F" w:rsidRDefault="00787BF1" w:rsidP="009906A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 Вид строительства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936860" w:rsidRPr="00936860" w:rsidTr="00E22482">
              <w:tc>
                <w:tcPr>
                  <w:tcW w:w="9403" w:type="dxa"/>
                </w:tcPr>
                <w:p w:rsidR="00787BF1" w:rsidRPr="00936860" w:rsidRDefault="008E7933" w:rsidP="0041475F">
                  <w:pPr>
                    <w:pStyle w:val="SMS"/>
                    <w:framePr w:hSpace="180" w:wrap="around" w:hAnchor="margin" w:xAlign="center" w:y="45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Новое</w:t>
                  </w:r>
                </w:p>
              </w:tc>
            </w:tr>
          </w:tbl>
          <w:p w:rsidR="00932B18" w:rsidRDefault="00932B18" w:rsidP="00932B1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32B18" w:rsidRPr="00932B18" w:rsidRDefault="00932B18" w:rsidP="00932B1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932B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Назначение объекта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932B18" w:rsidTr="00197B61">
              <w:tc>
                <w:tcPr>
                  <w:tcW w:w="9403" w:type="dxa"/>
                </w:tcPr>
                <w:p w:rsidR="00932B18" w:rsidRDefault="00484E2A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 птичников для содержания и выращивание птицы с применением наилучших доступных технологий</w:t>
                  </w:r>
                </w:p>
              </w:tc>
            </w:tr>
          </w:tbl>
          <w:p w:rsidR="00932B18" w:rsidRDefault="00932B18" w:rsidP="003A603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96" w:rsidRPr="00282FEE" w:rsidRDefault="00896E96" w:rsidP="00896E9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Pr="00282F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Основание для проведения работ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896E96" w:rsidTr="00197B61">
              <w:tc>
                <w:tcPr>
                  <w:tcW w:w="9403" w:type="dxa"/>
                </w:tcPr>
                <w:p w:rsid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Федеральный закон от 23.11.1995 №174-ФЗ «Об экологической экспертизе»;</w:t>
                  </w:r>
                </w:p>
                <w:p w:rsid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Госкомэкологии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</w:t>
                  </w:r>
                </w:p>
              </w:tc>
            </w:tr>
          </w:tbl>
          <w:p w:rsidR="00896E96" w:rsidRDefault="00896E96" w:rsidP="003A603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933" w:rsidRDefault="008E7933" w:rsidP="003A603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87" w:rsidRPr="00896E96" w:rsidRDefault="002E6187" w:rsidP="002E618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8</w:t>
            </w:r>
            <w:r w:rsidRPr="00896E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Сроки проведения ОВОС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2E6187" w:rsidRPr="00896E96" w:rsidTr="00197B61">
              <w:tc>
                <w:tcPr>
                  <w:tcW w:w="9403" w:type="dxa"/>
                </w:tcPr>
                <w:p w:rsidR="002E6187" w:rsidRPr="00A177FC" w:rsidRDefault="002E6187" w:rsidP="00484E2A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– Январь 2020 г., окончание - апрель 202</w:t>
                  </w:r>
                  <w:r w:rsidR="00484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17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2E6187" w:rsidRDefault="002E6187" w:rsidP="003A603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A" w:rsidRPr="00932B18" w:rsidRDefault="002E6187" w:rsidP="003A603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3A603A" w:rsidRPr="00932B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Цел</w:t>
            </w:r>
            <w:r w:rsidR="00896E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</w:t>
            </w:r>
            <w:r w:rsidR="003A603A" w:rsidRPr="00932B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32B18" w:rsidRPr="00932B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выполнения работы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936860" w:rsidRPr="00936860" w:rsidTr="00E22482">
              <w:tc>
                <w:tcPr>
                  <w:tcW w:w="9403" w:type="dxa"/>
                </w:tcPr>
                <w:p w:rsidR="00325B82" w:rsidRDefault="00282FEE" w:rsidP="0041475F">
                  <w:pPr>
                    <w:framePr w:hSpace="180" w:wrap="around" w:hAnchor="margin" w:xAlign="center" w:y="4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Оценка соответствия намечаем</w:t>
                  </w:r>
                  <w:r w:rsidR="008E79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E79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строительства </w:t>
                  </w:r>
                  <w:r w:rsidR="008E7933">
                    <w:t xml:space="preserve"> </w:t>
                  </w:r>
                  <w:r w:rsidR="00484E2A" w:rsidRPr="00BE438A">
                    <w:rPr>
                      <w:rFonts w:ascii="Times New Roman" w:hAnsi="Times New Roman"/>
                      <w:sz w:val="24"/>
                    </w:rPr>
                    <w:t>«Зон</w:t>
                  </w:r>
                  <w:r w:rsidR="00484E2A">
                    <w:rPr>
                      <w:rFonts w:ascii="Times New Roman" w:hAnsi="Times New Roman"/>
                      <w:sz w:val="24"/>
                    </w:rPr>
                    <w:t>ы</w:t>
                  </w:r>
                  <w:r w:rsidR="00484E2A" w:rsidRPr="00BE438A">
                    <w:rPr>
                      <w:rFonts w:ascii="Times New Roman" w:hAnsi="Times New Roman"/>
                      <w:sz w:val="24"/>
                    </w:rPr>
                    <w:t xml:space="preserve"> выращивания бройлеров №2» АО «Ярославский бройлер». Птичники №12, №14, №15, №16, №17, №18, №19, №20 на 125 тыс. бройлеров каждый» по адресу: Ярославская область, </w:t>
                  </w:r>
                  <w:proofErr w:type="spellStart"/>
                  <w:r w:rsidR="00484E2A" w:rsidRPr="00BE438A">
                    <w:rPr>
                      <w:rFonts w:ascii="Times New Roman" w:hAnsi="Times New Roman"/>
                      <w:sz w:val="24"/>
                    </w:rPr>
                    <w:t>Рыбинский</w:t>
                  </w:r>
                  <w:proofErr w:type="spellEnd"/>
                  <w:r w:rsidR="00484E2A" w:rsidRPr="00BE438A">
                    <w:rPr>
                      <w:rFonts w:ascii="Times New Roman" w:hAnsi="Times New Roman"/>
                      <w:sz w:val="24"/>
                    </w:rPr>
                    <w:t xml:space="preserve"> район, Октябрьский сельский округ, п.</w:t>
                  </w:r>
                  <w:r w:rsidR="00484E2A">
                    <w:rPr>
                      <w:rFonts w:ascii="Times New Roman" w:hAnsi="Times New Roman"/>
                      <w:sz w:val="24"/>
                    </w:rPr>
                    <w:t xml:space="preserve"> Октябрьский</w:t>
                  </w:r>
                  <w:r w:rsidR="00484E2A" w:rsidRPr="00030684">
                    <w:rPr>
                      <w:rFonts w:ascii="Times New Roman" w:hAnsi="Times New Roman"/>
                      <w:sz w:val="24"/>
                    </w:rPr>
                    <w:t>»</w:t>
                  </w:r>
                  <w:r w:rsidR="00484E2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экологическим требованиям законодательства РФ в области охраны окружающей среды в целях предотвращения негативного воздействия планируемой деятельности на окружающую среду.</w:t>
                  </w:r>
                </w:p>
                <w:p w:rsidR="00282FEE" w:rsidRPr="00282FEE" w:rsidRDefault="00282FEE" w:rsidP="0041475F">
                  <w:pPr>
                    <w:framePr w:hSpace="180" w:wrap="around" w:hAnchor="margin" w:xAlign="center" w:y="4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ценка экологических последствий реализации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82FEE" w:rsidRPr="00282FEE" w:rsidRDefault="00282FEE" w:rsidP="0041475F">
                  <w:pPr>
                    <w:framePr w:hSpace="180" w:wrap="around" w:hAnchor="margin" w:xAlign="center" w:y="4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азработка мер по уменьшению и предотвращению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неблагоприятных воздействий на окружающую среду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связанных с ней социальных, экономических, экологических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иных последствий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82FEE" w:rsidRPr="00936860" w:rsidRDefault="00282FEE" w:rsidP="0041475F">
                  <w:pPr>
                    <w:framePr w:hSpace="180" w:wrap="around" w:hAnchor="margin" w:xAlign="center" w:y="4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 мнения общественных организаций и общественного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2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B15FF" w:rsidRDefault="009B15FF" w:rsidP="004B60C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96E96" w:rsidRPr="00896E96" w:rsidRDefault="00896E96" w:rsidP="00896E9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96E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 Основные методы проведения ОВОС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896E96" w:rsidTr="00197B61">
              <w:tc>
                <w:tcPr>
                  <w:tcW w:w="9403" w:type="dxa"/>
                </w:tcPr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Основными методами по проведению ОВОС являются: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информирование общественности о намерениях (в СМИ);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разработка плана общественных обсуждений;</w:t>
                  </w:r>
                </w:p>
                <w:p w:rsid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предоставление населению и общественным организациям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материалов по оценке воздействия на окружающую среду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и организация, совместно с органами местного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самоуправления, общественных слушаний;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информирование населения и общественных организаций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месте и времени проведения общественных слушаний;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проведение, совместно с органами местного самоуправления,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общественных слушаний;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сбор, обобщение и анализ замечаний и предложений,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выявленных в ходе общественных слушаний;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населением и общественными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организациями </w:t>
                  </w:r>
                  <w:proofErr w:type="gramStart"/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выявленным, в процессе общественных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слушаний, замечаний и предложений;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составление отчета (протокола) о результатах общественных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слушаний</w:t>
                  </w:r>
                  <w:r w:rsidR="002E61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96E96" w:rsidRPr="00896E96" w:rsidRDefault="002E6187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96E96"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материалов общественных слушаний;</w:t>
                  </w:r>
                </w:p>
                <w:p w:rsidR="00896E96" w:rsidRDefault="002E6187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96E96"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корректировка материалов ОВОС по результатам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6E96"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общественных слушаний.</w:t>
                  </w:r>
                </w:p>
                <w:p w:rsidR="002E6187" w:rsidRDefault="002E6187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6187" w:rsidRDefault="002E6187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прогнозной оценки воздействия проектируемого объекта на окружающую среду будут использованы:</w:t>
                  </w:r>
                </w:p>
                <w:p w:rsidR="002E6187" w:rsidRPr="002E6187" w:rsidRDefault="002E6187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E61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Расчетные методы для определения выбросов, сбросов и объемов образования отходов;</w:t>
                  </w:r>
                </w:p>
                <w:p w:rsidR="002E6187" w:rsidRPr="002E6187" w:rsidRDefault="002E6187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E61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экспертных оценок для оценки воздействий, не поддающихся непосредственному измерению;</w:t>
                  </w:r>
                </w:p>
                <w:p w:rsidR="002E6187" w:rsidRPr="00603849" w:rsidRDefault="002E6187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Метод причинно-следственных связей для анализа непрямых воздействий.</w:t>
                  </w:r>
                </w:p>
              </w:tc>
            </w:tr>
          </w:tbl>
          <w:p w:rsidR="00896E96" w:rsidRDefault="00896E96" w:rsidP="004B60C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96E96" w:rsidRPr="00282FEE" w:rsidRDefault="00896E96" w:rsidP="00896E9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2E61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82F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задачи при проведении ОВОС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896E96" w:rsidTr="00197B61">
              <w:tc>
                <w:tcPr>
                  <w:tcW w:w="9403" w:type="dxa"/>
                </w:tcPr>
                <w:p w:rsidR="00896E96" w:rsidRP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нализ состояния территории, на которую может оказать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влияние </w:t>
                  </w:r>
                  <w:r w:rsidR="008E79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объекта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(современное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природной среды, наличие и характер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антропогенной нагрузки)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ыявление возможных неблагоприятных воздействий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окружающую среду на стадии </w:t>
                  </w:r>
                  <w:r w:rsidR="008E79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ценка воздействий на окружающую среду на стадии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E79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строительства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вероятности возникновения риска, степени,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характера, масштаба, зоны распространения, а также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прогнозирование экологических и связанных с ними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социальных и экономических последствий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пределение мероприятий, уменьшающих, смягчающих или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предотвращающих неблагоприятные воздействия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окружающую среду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ассмотрение альтернативных вариантов достижения цели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намечаемой деятельности, а также «нулевого варианта» (отказ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деятельности), сравнение по ожидаемым экологическим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связанным с ними социально-экономическим последствиям</w:t>
                  </w:r>
                </w:p>
                <w:p w:rsid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рассматриваемых альтернатив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одготовка предварительного варианта материалов по ОВОС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стадии </w:t>
                  </w:r>
                  <w:r w:rsidR="008E79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строительства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включая краткое изложение для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неспециалистов;</w:t>
                  </w:r>
                </w:p>
                <w:p w:rsidR="00896E96" w:rsidRP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учет общественного мнения;</w:t>
                  </w:r>
                </w:p>
                <w:p w:rsidR="00896E96" w:rsidRDefault="00896E96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подготовка окончательного варианта материалов по ОВОС</w:t>
                  </w:r>
                </w:p>
              </w:tc>
            </w:tr>
          </w:tbl>
          <w:p w:rsidR="00282FEE" w:rsidRDefault="00282FEE" w:rsidP="005103A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540" w:rsidRPr="002E6187" w:rsidRDefault="003A5540" w:rsidP="002E618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1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2E6187" w:rsidRPr="002E61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2E61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E6187" w:rsidRPr="002E61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План мероприятий по обеспечению участия общественности при проведении работы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3A5540" w:rsidTr="00E22482">
              <w:tc>
                <w:tcPr>
                  <w:tcW w:w="9403" w:type="dxa"/>
                </w:tcPr>
                <w:p w:rsidR="003A5540" w:rsidRDefault="0009632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Общественные обсуждения про</w:t>
                  </w:r>
                  <w:bookmarkStart w:id="1" w:name="_GoBack"/>
                  <w:bookmarkEnd w:id="1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водятся в рамках ОВОС</w:t>
                  </w:r>
                  <w:r w:rsidR="002E61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информирование общественности о намечаемой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            </w:r>
                </w:p>
                <w:p w:rsidR="00096322" w:rsidRDefault="00F160F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Общественные обсуждения проводятся в соответствии с </w:t>
                  </w:r>
                  <w:r w:rsidR="003F2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Положением об оценке воздействия намечаемой хозяйственной и иной деятельности на окружающую среду в Российской Федерации</w:t>
                  </w:r>
                  <w:r w:rsidR="003F2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Госкомэкологии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 от </w:t>
                  </w:r>
                  <w:r w:rsidRPr="00F16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16.05.2000 №372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154D52" w:rsidRPr="00154D52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выявления общественных предпочтений необходимо:</w:t>
                  </w:r>
                </w:p>
                <w:p w:rsidR="00154D52" w:rsidRPr="00154D52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общественное консультирование заинтересованных групп среди населения и других участников ОВОС. Замечания и предложения от заинтересованных групп принимать в письменном виде;</w:t>
                  </w:r>
                </w:p>
                <w:p w:rsidR="00154D52" w:rsidRPr="00154D52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Проинформировать население о вынесении на обсуждение Технического задания на проведение ОВОС, о месте его размещения и принимать замечания и предложения в течение 30 дней со дня опубликования информации. Замечания и предложения учитываются в окончательной редакции Технического задания и должны быть отражены в материалах ОВОС;</w:t>
                  </w:r>
                </w:p>
                <w:p w:rsidR="00154D52" w:rsidRPr="00154D52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обсуждение Технического задания на проведение ОВОС с органами исполнительной власти и органами местного самоуправления, на территории которых намечается реализация проекта, а также с другими участниками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ОВОС;</w:t>
                  </w:r>
                </w:p>
                <w:p w:rsidR="00154D52" w:rsidRPr="00154D52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основе Технического задания разработать предварительные материалы ОВОС и проинформировать население и других участников процесса ОВОС о том, где можно ознакомиться с материалами, принимать замечания и предложения к предварительным материалам ОВОС не менее 30 дней;</w:t>
                  </w:r>
                </w:p>
                <w:p w:rsidR="00154D52" w:rsidRPr="00154D52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Опубликовать объявления об обсуждении материалов ОВОС в официальных изданиях федеральных органов исполнительной власти, в официальных изданиях органов исполнительной власти, на территории которых намечается реализация проекта. В объявлении указать адрес и сроки принятия замечаний и предложений;</w:t>
                  </w:r>
                </w:p>
                <w:p w:rsidR="00154D52" w:rsidRPr="00154D52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законодательством РФ совместно с органами местного самоуправления провести общественные обсуждения материалов ОВОС.</w:t>
                  </w:r>
                </w:p>
                <w:p w:rsidR="00154D52" w:rsidRPr="00154D52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информирование участников процесса оценки воздействия на окружающую среду может осуществляться путем размещения информации в периодической печати, интернете и иными способами, обеспечивающими распространение и доступ к информации.</w:t>
                  </w:r>
                </w:p>
                <w:p w:rsidR="005B4DB9" w:rsidRPr="003A5540" w:rsidRDefault="00154D52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обсуждений должны быть документально оформлены, отражены в материалах ОВОС и представлены в надзорные органы для получения соответствующих согласований с учетом общественного мнения.</w:t>
                  </w:r>
                </w:p>
              </w:tc>
            </w:tr>
          </w:tbl>
          <w:p w:rsidR="00154D52" w:rsidRDefault="00154D52" w:rsidP="00F677B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933" w:rsidRDefault="008E7933" w:rsidP="00F677B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B8" w:rsidRPr="00154D52" w:rsidRDefault="00154D52" w:rsidP="00F677B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677B8" w:rsidRPr="00154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 к выполнению ОВОС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F677B8" w:rsidTr="00E22482">
              <w:tc>
                <w:tcPr>
                  <w:tcW w:w="9403" w:type="dxa"/>
                </w:tcPr>
                <w:p w:rsidR="00F677B8" w:rsidRDefault="00F677B8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ОВОС должны быть выполнены в соответствии с законодательными и нормативными требованиями РФ в области охраны окружающей среды, здоровья населения.</w:t>
                  </w:r>
                </w:p>
                <w:p w:rsidR="00F677B8" w:rsidRDefault="00F677B8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ОВОС необходимо выполнить на основе имеющейся официальной информации, статистики, проведенных ранее исследований, материалов инженерных, в том числе, инженерно-экологических изысканий.</w:t>
                  </w:r>
                </w:p>
                <w:p w:rsidR="000C0A37" w:rsidRDefault="000C0A37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ОВОС следует руководствоваться следующими основными принципами:</w:t>
                  </w:r>
                </w:p>
                <w:p w:rsidR="000C0A37" w:rsidRDefault="000C0A37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22"/>
                    </w:numPr>
                    <w:ind w:left="4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0C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резумпци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0C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потенциальной экологической опасности любой намечаемой хозяйственной и иной деятельности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C0A37" w:rsidRDefault="000C0A37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22"/>
                    </w:numPr>
                    <w:ind w:left="4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C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омплексност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0C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оценки воздействия на окружающую среду хозяйственной и иной деятельности и его последствий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C0A37" w:rsidRDefault="000C0A37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22"/>
                    </w:numPr>
                    <w:ind w:left="4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0C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0C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C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общественных организаций (объединений), учет общественного мнения;</w:t>
                  </w:r>
                </w:p>
                <w:p w:rsidR="000C0A37" w:rsidRDefault="000C0A37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22"/>
                    </w:numPr>
                    <w:ind w:left="4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Обязательность выявления и анализа альтернативных вариантов достижения цели намечаемой деятельности, включая «нулевой вариант» (отказ от деятельности);</w:t>
                  </w:r>
                </w:p>
                <w:p w:rsidR="000C0A37" w:rsidRPr="00F677B8" w:rsidRDefault="000C0A37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22"/>
                    </w:numPr>
                    <w:ind w:left="4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Недопущение (предупреждение) возможных неблагоприятных воздействий на окружающую среду и связанных с ними социальных, экономических и иных последствий в случае реализации намечаемой деятельности.</w:t>
                  </w:r>
                </w:p>
              </w:tc>
            </w:tr>
          </w:tbl>
          <w:p w:rsidR="00154D52" w:rsidRDefault="00154D52" w:rsidP="003F2E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59" w:rsidRPr="00154D52" w:rsidRDefault="00154D52" w:rsidP="003F2E5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F2E59" w:rsidRPr="00154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 и содержание материалов ОВОС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D0313F" w:rsidRPr="00D0313F" w:rsidTr="00E22482">
              <w:tc>
                <w:tcPr>
                  <w:tcW w:w="9403" w:type="dxa"/>
                </w:tcPr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материалах ОВОС должны быть представлены сведения </w:t>
                  </w:r>
                  <w:proofErr w:type="gramStart"/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соответствии с Типовым содержанием материалов по оценке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воздействия намечаемой хозяйственной деятельности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окружающую среду в инвестиционном проектировании</w:t>
                  </w:r>
                  <w:proofErr w:type="gramEnd"/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Положением об оценке воздействия намечаемой хозяйственной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иной деятельности на окружающую среду в Российской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Федерации, утвержденных приказом </w:t>
                  </w:r>
                  <w:proofErr w:type="spellStart"/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Госкомэкологии</w:t>
                  </w:r>
                  <w:proofErr w:type="spellEnd"/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16.05.2000 №372, включая: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обоснование хозяйственной необходимости реализации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проекта, описание альтернативных вариантов достижения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цели, включая «нулевой вариант» (отказ от деятельности);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характеристика существующего состояния окружающей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среды в районе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расположения объекта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особо охраняемых природных территорий;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социально-экономическая характеристика территории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социально-экономические последствия намечаемой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характеристика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объекта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оценка возможных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видов воздействия на окружающую среду и население;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планируемые природоохранные мероприятия с оценкой 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эффективности;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оценка химических факторов воздействия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объекта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население и окружающую среду;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порядок обращения с отходами производства и потребления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с отходами, образующимися в период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строительства;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краткое содержание программ экологического мониторинга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предварительный вариант ОВОС, включая краткое изложение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неспециалистов;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резюме нетехнического характера, содержащее важнейшие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и выводы ОВОС;</w:t>
                  </w:r>
                </w:p>
                <w:p w:rsidR="00D0313F" w:rsidRPr="00D0313F" w:rsidRDefault="00D0313F" w:rsidP="0041475F">
                  <w:pPr>
                    <w:framePr w:hSpace="180" w:wrap="around" w:hAnchor="margin" w:xAlign="center" w:y="4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материалы общественных обсуждений, проводимых при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проведении исследований и подготовке материалов по оценке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воздействия</w:t>
                  </w:r>
                  <w:proofErr w:type="gramEnd"/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окружающую среду намечаемой хозяйственной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иной деятельности, в том числе:</w:t>
                  </w:r>
                </w:p>
                <w:p w:rsidR="00D0313F" w:rsidRP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 информирования общественности о месте, времени и форме проведения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общественного обсуждения;</w:t>
                  </w:r>
                </w:p>
                <w:p w:rsidR="00D0313F" w:rsidRP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список участников общественного обсуждения с указанием их фамилий, имен, отчеств и названий организаций (если они представляли организации), а также адресов и телефонов этих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организаций или самих участников обсуждения;</w:t>
                  </w:r>
                </w:p>
                <w:p w:rsid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вопросы, рассмотренные участниками обсуждений; тезисы выступлений, в случае их представления участниками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обсуждения; </w:t>
                  </w:r>
                </w:p>
                <w:p w:rsidR="00D0313F" w:rsidRP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проведения общественных слушаний;</w:t>
                  </w:r>
                </w:p>
                <w:p w:rsidR="00D0313F" w:rsidRP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высказанные в процессе проведения общественных обсуждений замечания и предложения с указанием их авторов, в том числе по предмету возможных разногласий между общественностью, органами местного самоуправления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заказчиком;</w:t>
                  </w:r>
                </w:p>
                <w:p w:rsidR="00D0313F" w:rsidRP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выводы по результатам общественного обсуждения относительно экологических аспектов намечаемой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деятельности;</w:t>
                  </w:r>
                </w:p>
                <w:p w:rsidR="00D0313F" w:rsidRP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сводка замечаний и предложений общественности, с указанием, какие из этих предложений и замечаний были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учтены заказчиком, и в каком виде, какие - не учтены,</w:t>
                  </w:r>
                </w:p>
                <w:p w:rsidR="00D0313F" w:rsidRP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для отказа;</w:t>
                  </w:r>
                </w:p>
                <w:p w:rsidR="003F2E59" w:rsidRPr="00D0313F" w:rsidRDefault="00D0313F" w:rsidP="0041475F">
                  <w:pPr>
                    <w:pStyle w:val="ad"/>
                    <w:framePr w:hSpace="180" w:wrap="around" w:hAnchor="margin" w:xAlign="center" w:y="450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списки рассылки соответствующей информации, направляемой общественности на всех этапах оценки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воздействия на окружающую среду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F2E59" w:rsidRPr="00154D52" w:rsidRDefault="003F2E59" w:rsidP="003F2E59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6187" w:rsidRPr="00A177FC" w:rsidRDefault="00154D52" w:rsidP="002E618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E6187" w:rsidRPr="00A17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Предварительная оценка воздействия на окружающую среду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403"/>
            </w:tblGrid>
            <w:tr w:rsidR="002E6187" w:rsidTr="00197B61">
              <w:tc>
                <w:tcPr>
                  <w:tcW w:w="9403" w:type="dxa"/>
                </w:tcPr>
                <w:p w:rsidR="002E6187" w:rsidRPr="00603849" w:rsidRDefault="002E6187" w:rsidP="0041475F">
                  <w:pPr>
                    <w:framePr w:hSpace="180" w:wrap="around" w:hAnchor="margin" w:xAlign="center" w:y="450"/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Предварительная оценка воздействия на окружающую среду представлена в приложении 1 к техническому заданию</w:t>
                  </w:r>
                </w:p>
              </w:tc>
            </w:tr>
          </w:tbl>
          <w:p w:rsidR="002E6187" w:rsidRDefault="002E6187" w:rsidP="003F2E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33" w:rsidRPr="00541956" w:rsidRDefault="00285933" w:rsidP="000C19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1081" w:rsidRPr="00541956" w:rsidRDefault="00201081" w:rsidP="000C1997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sectPr w:rsidR="00201081" w:rsidRPr="00541956" w:rsidSect="00641DE7">
      <w:footerReference w:type="default" r:id="rId8"/>
      <w:pgSz w:w="11906" w:h="16838"/>
      <w:pgMar w:top="851" w:right="851" w:bottom="1418" w:left="1701" w:header="709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89" w:rsidRDefault="00840489" w:rsidP="00E15D7C">
      <w:pPr>
        <w:spacing w:after="0" w:line="240" w:lineRule="auto"/>
      </w:pPr>
      <w:r>
        <w:separator/>
      </w:r>
    </w:p>
  </w:endnote>
  <w:endnote w:type="continuationSeparator" w:id="0">
    <w:p w:rsidR="00840489" w:rsidRDefault="00840489" w:rsidP="00E1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92" w:rsidRDefault="005B2792" w:rsidP="009B7CFD">
    <w:pPr>
      <w:pStyle w:val="a9"/>
      <w:pBdr>
        <w:bottom w:val="single" w:sz="12" w:space="1" w:color="auto"/>
      </w:pBdr>
      <w:jc w:val="right"/>
      <w:rPr>
        <w:rFonts w:ascii="Times New Roman" w:hAnsi="Times New Roman" w:cs="Times New Roman"/>
        <w:color w:val="A6A6A6"/>
        <w:sz w:val="16"/>
        <w:szCs w:val="16"/>
      </w:rPr>
    </w:pPr>
  </w:p>
  <w:p w:rsidR="005B2792" w:rsidRDefault="005B2792" w:rsidP="00740F6B">
    <w:pPr>
      <w:pStyle w:val="a9"/>
      <w:rPr>
        <w:rFonts w:ascii="Times New Roman" w:hAnsi="Times New Roman" w:cs="Times New Roman"/>
        <w:color w:val="A6A6A6"/>
        <w:sz w:val="16"/>
        <w:szCs w:val="16"/>
      </w:rPr>
    </w:pPr>
    <w:r>
      <w:rPr>
        <w:rFonts w:ascii="Times New Roman" w:hAnsi="Times New Roman" w:cs="Times New Roman"/>
        <w:color w:val="A6A6A6"/>
        <w:sz w:val="16"/>
        <w:szCs w:val="16"/>
      </w:rPr>
      <w:t>ТЗ на проведение ОВОС по объекту</w:t>
    </w:r>
    <w:r w:rsidR="00C83846">
      <w:rPr>
        <w:rFonts w:ascii="Times New Roman" w:hAnsi="Times New Roman" w:cs="Times New Roman"/>
        <w:color w:val="A6A6A6"/>
        <w:sz w:val="16"/>
        <w:szCs w:val="16"/>
      </w:rPr>
      <w:t>:</w:t>
    </w:r>
    <w:r w:rsidR="004424A6" w:rsidRPr="00C83846">
      <w:rPr>
        <w:rFonts w:ascii="Times New Roman" w:hAnsi="Times New Roman" w:cs="Times New Roman"/>
        <w:color w:val="A6A6A6"/>
        <w:sz w:val="16"/>
        <w:szCs w:val="16"/>
      </w:rPr>
      <w:t xml:space="preserve"> птичники №12, №14, №15, №16, №17, №18, №19, №20 на 125 000 бройлеров каждый АО «Ярославский бройлер»</w:t>
    </w:r>
    <w:r w:rsidR="00C838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282FEE" w:rsidRPr="00282FEE">
      <w:rPr>
        <w:rFonts w:ascii="Times New Roman" w:hAnsi="Times New Roman" w:cs="Times New Roman"/>
        <w:color w:val="A6A6A6"/>
        <w:sz w:val="16"/>
        <w:szCs w:val="16"/>
      </w:rPr>
      <w:t xml:space="preserve">по адресу: Ярославская область, </w:t>
    </w:r>
    <w:proofErr w:type="spellStart"/>
    <w:r w:rsidR="00282FEE" w:rsidRPr="00282FEE">
      <w:rPr>
        <w:rFonts w:ascii="Times New Roman" w:hAnsi="Times New Roman" w:cs="Times New Roman"/>
        <w:color w:val="A6A6A6"/>
        <w:sz w:val="16"/>
        <w:szCs w:val="16"/>
      </w:rPr>
      <w:t>Рыбинский</w:t>
    </w:r>
    <w:proofErr w:type="spellEnd"/>
    <w:r w:rsidR="00282FEE" w:rsidRPr="00282FEE">
      <w:rPr>
        <w:rFonts w:ascii="Times New Roman" w:hAnsi="Times New Roman" w:cs="Times New Roman"/>
        <w:color w:val="A6A6A6"/>
        <w:sz w:val="16"/>
        <w:szCs w:val="16"/>
      </w:rPr>
      <w:t xml:space="preserve"> район, Октябрьский сельский округ, п. Октябрьский»</w:t>
    </w:r>
  </w:p>
  <w:p w:rsidR="00C74582" w:rsidRPr="009B7CFD" w:rsidRDefault="009B7CFD" w:rsidP="009B7CFD">
    <w:pPr>
      <w:pStyle w:val="a9"/>
      <w:jc w:val="right"/>
      <w:rPr>
        <w:sz w:val="16"/>
        <w:szCs w:val="16"/>
      </w:rPr>
    </w:pPr>
    <w:r w:rsidRPr="009B7CFD">
      <w:rPr>
        <w:rFonts w:ascii="Times New Roman" w:hAnsi="Times New Roman" w:cs="Times New Roman"/>
        <w:color w:val="A6A6A6"/>
        <w:sz w:val="16"/>
        <w:szCs w:val="16"/>
      </w:rPr>
      <w:t xml:space="preserve">Стр. </w:t>
    </w:r>
    <w:r w:rsidR="00536CC6" w:rsidRPr="009B7CFD">
      <w:rPr>
        <w:rFonts w:ascii="Times New Roman" w:hAnsi="Times New Roman" w:cs="Times New Roman"/>
        <w:color w:val="A6A6A6"/>
        <w:sz w:val="16"/>
        <w:szCs w:val="16"/>
      </w:rPr>
      <w:fldChar w:fldCharType="begin"/>
    </w:r>
    <w:r w:rsidRPr="009B7CFD">
      <w:rPr>
        <w:rFonts w:ascii="Times New Roman" w:hAnsi="Times New Roman" w:cs="Times New Roman"/>
        <w:color w:val="A6A6A6"/>
        <w:sz w:val="16"/>
        <w:szCs w:val="16"/>
      </w:rPr>
      <w:instrText xml:space="preserve"> PAGE  \* Arabic  \* MERGEFORMAT </w:instrText>
    </w:r>
    <w:r w:rsidR="00536CC6" w:rsidRPr="009B7CFD">
      <w:rPr>
        <w:rFonts w:ascii="Times New Roman" w:hAnsi="Times New Roman" w:cs="Times New Roman"/>
        <w:color w:val="A6A6A6"/>
        <w:sz w:val="16"/>
        <w:szCs w:val="16"/>
      </w:rPr>
      <w:fldChar w:fldCharType="separate"/>
    </w:r>
    <w:r w:rsidR="001A006B">
      <w:rPr>
        <w:rFonts w:ascii="Times New Roman" w:hAnsi="Times New Roman" w:cs="Times New Roman"/>
        <w:noProof/>
        <w:color w:val="A6A6A6"/>
        <w:sz w:val="16"/>
        <w:szCs w:val="16"/>
      </w:rPr>
      <w:t>5</w:t>
    </w:r>
    <w:r w:rsidR="00536CC6" w:rsidRPr="009B7CFD">
      <w:rPr>
        <w:rFonts w:ascii="Times New Roman" w:hAnsi="Times New Roman" w:cs="Times New Roman"/>
        <w:color w:val="A6A6A6"/>
        <w:sz w:val="16"/>
        <w:szCs w:val="16"/>
      </w:rPr>
      <w:fldChar w:fldCharType="end"/>
    </w:r>
    <w:r w:rsidRPr="009B7CFD">
      <w:rPr>
        <w:rFonts w:ascii="Times New Roman" w:hAnsi="Times New Roman" w:cs="Times New Roman"/>
        <w:color w:val="A6A6A6"/>
        <w:sz w:val="16"/>
        <w:szCs w:val="16"/>
      </w:rPr>
      <w:t xml:space="preserve"> из </w:t>
    </w:r>
    <w:fldSimple w:instr=" NUMPAGES  \* Arabic  \* MERGEFORMAT ">
      <w:r w:rsidR="001A006B" w:rsidRPr="001A006B">
        <w:rPr>
          <w:rFonts w:ascii="Times New Roman" w:hAnsi="Times New Roman" w:cs="Times New Roman"/>
          <w:noProof/>
          <w:color w:val="A6A6A6"/>
          <w:sz w:val="16"/>
          <w:szCs w:val="16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89" w:rsidRDefault="00840489" w:rsidP="00E15D7C">
      <w:pPr>
        <w:spacing w:after="0" w:line="240" w:lineRule="auto"/>
      </w:pPr>
      <w:r>
        <w:separator/>
      </w:r>
    </w:p>
  </w:footnote>
  <w:footnote w:type="continuationSeparator" w:id="0">
    <w:p w:rsidR="00840489" w:rsidRDefault="00840489" w:rsidP="00E1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DE8"/>
    <w:multiLevelType w:val="multilevel"/>
    <w:tmpl w:val="CBDEC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B326C"/>
    <w:multiLevelType w:val="hybridMultilevel"/>
    <w:tmpl w:val="3A08D33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5C34043"/>
    <w:multiLevelType w:val="multilevel"/>
    <w:tmpl w:val="EBA49318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1E4652"/>
    <w:multiLevelType w:val="multilevel"/>
    <w:tmpl w:val="EC16BB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35536"/>
    <w:multiLevelType w:val="hybridMultilevel"/>
    <w:tmpl w:val="9028FB4C"/>
    <w:lvl w:ilvl="0" w:tplc="AF829F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26D96"/>
    <w:multiLevelType w:val="hybridMultilevel"/>
    <w:tmpl w:val="BF721544"/>
    <w:lvl w:ilvl="0" w:tplc="D53290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77DC"/>
    <w:multiLevelType w:val="multilevel"/>
    <w:tmpl w:val="F8E87D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D7BF5"/>
    <w:multiLevelType w:val="multilevel"/>
    <w:tmpl w:val="7BCE1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E5E1D"/>
    <w:multiLevelType w:val="multilevel"/>
    <w:tmpl w:val="87D8D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909D1"/>
    <w:multiLevelType w:val="hybridMultilevel"/>
    <w:tmpl w:val="A556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81150"/>
    <w:multiLevelType w:val="multilevel"/>
    <w:tmpl w:val="C18001B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1">
    <w:nsid w:val="33CF5400"/>
    <w:multiLevelType w:val="hybridMultilevel"/>
    <w:tmpl w:val="866AF28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B3255"/>
    <w:multiLevelType w:val="hybridMultilevel"/>
    <w:tmpl w:val="F7041C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136B6"/>
    <w:multiLevelType w:val="hybridMultilevel"/>
    <w:tmpl w:val="52C2571E"/>
    <w:lvl w:ilvl="0" w:tplc="287A3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F6492"/>
    <w:multiLevelType w:val="multilevel"/>
    <w:tmpl w:val="FD8EE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C7C24"/>
    <w:multiLevelType w:val="hybridMultilevel"/>
    <w:tmpl w:val="2738DD9A"/>
    <w:lvl w:ilvl="0" w:tplc="89F4E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869B6"/>
    <w:multiLevelType w:val="hybridMultilevel"/>
    <w:tmpl w:val="517C60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46BC6811"/>
    <w:multiLevelType w:val="multilevel"/>
    <w:tmpl w:val="652E2C6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D526F7"/>
    <w:multiLevelType w:val="hybridMultilevel"/>
    <w:tmpl w:val="2488DBAA"/>
    <w:lvl w:ilvl="0" w:tplc="9DB8371E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9">
    <w:nsid w:val="502A1FE5"/>
    <w:multiLevelType w:val="hybridMultilevel"/>
    <w:tmpl w:val="9E6C0336"/>
    <w:lvl w:ilvl="0" w:tplc="A3E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5801"/>
    <w:multiLevelType w:val="hybridMultilevel"/>
    <w:tmpl w:val="CFEABCE2"/>
    <w:lvl w:ilvl="0" w:tplc="3776F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86DFA"/>
    <w:multiLevelType w:val="multilevel"/>
    <w:tmpl w:val="ABA66930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221357"/>
    <w:multiLevelType w:val="multilevel"/>
    <w:tmpl w:val="58DED71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D42DC"/>
    <w:multiLevelType w:val="multilevel"/>
    <w:tmpl w:val="7624D8BE"/>
    <w:lvl w:ilvl="0">
      <w:start w:val="10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AC4941"/>
    <w:multiLevelType w:val="hybridMultilevel"/>
    <w:tmpl w:val="165885D6"/>
    <w:lvl w:ilvl="0" w:tplc="FD58E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037D3"/>
    <w:multiLevelType w:val="multilevel"/>
    <w:tmpl w:val="A73E677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BA0FD7"/>
    <w:multiLevelType w:val="hybridMultilevel"/>
    <w:tmpl w:val="7C1239CA"/>
    <w:lvl w:ilvl="0" w:tplc="EDA8F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94CC5"/>
    <w:multiLevelType w:val="multilevel"/>
    <w:tmpl w:val="EE000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4E404B"/>
    <w:multiLevelType w:val="multilevel"/>
    <w:tmpl w:val="8DAC8B18"/>
    <w:lvl w:ilvl="0">
      <w:start w:val="6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146450"/>
    <w:multiLevelType w:val="multilevel"/>
    <w:tmpl w:val="478E6C28"/>
    <w:lvl w:ilvl="0">
      <w:start w:val="5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87083C"/>
    <w:multiLevelType w:val="multilevel"/>
    <w:tmpl w:val="44F266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0"/>
  </w:num>
  <w:num w:numId="3">
    <w:abstractNumId w:val="3"/>
  </w:num>
  <w:num w:numId="4">
    <w:abstractNumId w:val="17"/>
  </w:num>
  <w:num w:numId="5">
    <w:abstractNumId w:val="7"/>
  </w:num>
  <w:num w:numId="6">
    <w:abstractNumId w:val="6"/>
  </w:num>
  <w:num w:numId="7">
    <w:abstractNumId w:val="29"/>
  </w:num>
  <w:num w:numId="8">
    <w:abstractNumId w:val="22"/>
  </w:num>
  <w:num w:numId="9">
    <w:abstractNumId w:val="10"/>
  </w:num>
  <w:num w:numId="10">
    <w:abstractNumId w:val="21"/>
  </w:num>
  <w:num w:numId="11">
    <w:abstractNumId w:val="28"/>
  </w:num>
  <w:num w:numId="12">
    <w:abstractNumId w:val="23"/>
  </w:num>
  <w:num w:numId="13">
    <w:abstractNumId w:val="0"/>
  </w:num>
  <w:num w:numId="14">
    <w:abstractNumId w:val="8"/>
  </w:num>
  <w:num w:numId="15">
    <w:abstractNumId w:val="27"/>
  </w:num>
  <w:num w:numId="16">
    <w:abstractNumId w:val="14"/>
  </w:num>
  <w:num w:numId="17">
    <w:abstractNumId w:val="1"/>
  </w:num>
  <w:num w:numId="18">
    <w:abstractNumId w:val="16"/>
  </w:num>
  <w:num w:numId="19">
    <w:abstractNumId w:val="9"/>
  </w:num>
  <w:num w:numId="20">
    <w:abstractNumId w:val="20"/>
  </w:num>
  <w:num w:numId="21">
    <w:abstractNumId w:val="2"/>
  </w:num>
  <w:num w:numId="22">
    <w:abstractNumId w:val="18"/>
  </w:num>
  <w:num w:numId="23">
    <w:abstractNumId w:val="12"/>
  </w:num>
  <w:num w:numId="24">
    <w:abstractNumId w:val="4"/>
  </w:num>
  <w:num w:numId="25">
    <w:abstractNumId w:val="11"/>
  </w:num>
  <w:num w:numId="26">
    <w:abstractNumId w:val="5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17C81"/>
    <w:rsid w:val="000054CA"/>
    <w:rsid w:val="00006A01"/>
    <w:rsid w:val="00027490"/>
    <w:rsid w:val="00032D64"/>
    <w:rsid w:val="00034105"/>
    <w:rsid w:val="00034ED9"/>
    <w:rsid w:val="0004350E"/>
    <w:rsid w:val="00045455"/>
    <w:rsid w:val="000539B8"/>
    <w:rsid w:val="00056E47"/>
    <w:rsid w:val="000626B4"/>
    <w:rsid w:val="000632BC"/>
    <w:rsid w:val="0006351B"/>
    <w:rsid w:val="00090102"/>
    <w:rsid w:val="00091BA4"/>
    <w:rsid w:val="00095795"/>
    <w:rsid w:val="00096322"/>
    <w:rsid w:val="000975C4"/>
    <w:rsid w:val="000B104C"/>
    <w:rsid w:val="000B5F3F"/>
    <w:rsid w:val="000C0A37"/>
    <w:rsid w:val="000C1997"/>
    <w:rsid w:val="000C4F3A"/>
    <w:rsid w:val="000C55C3"/>
    <w:rsid w:val="000C665E"/>
    <w:rsid w:val="000D4880"/>
    <w:rsid w:val="000F1066"/>
    <w:rsid w:val="000F7712"/>
    <w:rsid w:val="00104A6D"/>
    <w:rsid w:val="00106AEF"/>
    <w:rsid w:val="00107A33"/>
    <w:rsid w:val="00112882"/>
    <w:rsid w:val="0011733D"/>
    <w:rsid w:val="001204E3"/>
    <w:rsid w:val="00133EB1"/>
    <w:rsid w:val="00137B48"/>
    <w:rsid w:val="00142E1B"/>
    <w:rsid w:val="00144A0D"/>
    <w:rsid w:val="0014568B"/>
    <w:rsid w:val="0015194D"/>
    <w:rsid w:val="001525AF"/>
    <w:rsid w:val="00154D52"/>
    <w:rsid w:val="00162C4C"/>
    <w:rsid w:val="00175A23"/>
    <w:rsid w:val="00184478"/>
    <w:rsid w:val="00191F7D"/>
    <w:rsid w:val="001A006B"/>
    <w:rsid w:val="001A1679"/>
    <w:rsid w:val="001A33E2"/>
    <w:rsid w:val="001A6980"/>
    <w:rsid w:val="001B257E"/>
    <w:rsid w:val="001B37F0"/>
    <w:rsid w:val="001B79E0"/>
    <w:rsid w:val="001C1AC5"/>
    <w:rsid w:val="001C43C7"/>
    <w:rsid w:val="001D749B"/>
    <w:rsid w:val="001E6B78"/>
    <w:rsid w:val="001F0DDF"/>
    <w:rsid w:val="001F4E5B"/>
    <w:rsid w:val="00201081"/>
    <w:rsid w:val="00212B8C"/>
    <w:rsid w:val="00214587"/>
    <w:rsid w:val="002222DF"/>
    <w:rsid w:val="0023150C"/>
    <w:rsid w:val="002332A7"/>
    <w:rsid w:val="00234FD4"/>
    <w:rsid w:val="00245CD3"/>
    <w:rsid w:val="00246666"/>
    <w:rsid w:val="00253D20"/>
    <w:rsid w:val="00254FBB"/>
    <w:rsid w:val="002560F5"/>
    <w:rsid w:val="00261AB2"/>
    <w:rsid w:val="00261B3D"/>
    <w:rsid w:val="00265200"/>
    <w:rsid w:val="00266CCF"/>
    <w:rsid w:val="00270242"/>
    <w:rsid w:val="002706E6"/>
    <w:rsid w:val="00274767"/>
    <w:rsid w:val="00280481"/>
    <w:rsid w:val="00282FEE"/>
    <w:rsid w:val="00285933"/>
    <w:rsid w:val="002A12DC"/>
    <w:rsid w:val="002A2941"/>
    <w:rsid w:val="002A4787"/>
    <w:rsid w:val="002A4D5D"/>
    <w:rsid w:val="002B1D42"/>
    <w:rsid w:val="002B250F"/>
    <w:rsid w:val="002C77E2"/>
    <w:rsid w:val="002C7E7D"/>
    <w:rsid w:val="002D1784"/>
    <w:rsid w:val="002D2751"/>
    <w:rsid w:val="002D2975"/>
    <w:rsid w:val="002D3D5D"/>
    <w:rsid w:val="002D61D6"/>
    <w:rsid w:val="002E6187"/>
    <w:rsid w:val="002F29EB"/>
    <w:rsid w:val="002F347F"/>
    <w:rsid w:val="00301A54"/>
    <w:rsid w:val="00302BC2"/>
    <w:rsid w:val="00312F03"/>
    <w:rsid w:val="00315C0B"/>
    <w:rsid w:val="00316B29"/>
    <w:rsid w:val="00316EE1"/>
    <w:rsid w:val="00321BE2"/>
    <w:rsid w:val="00325B82"/>
    <w:rsid w:val="0034107C"/>
    <w:rsid w:val="00354EFF"/>
    <w:rsid w:val="00356E1C"/>
    <w:rsid w:val="00363922"/>
    <w:rsid w:val="003675B8"/>
    <w:rsid w:val="00385A67"/>
    <w:rsid w:val="00395A33"/>
    <w:rsid w:val="00395E54"/>
    <w:rsid w:val="003A3DC0"/>
    <w:rsid w:val="003A5540"/>
    <w:rsid w:val="003A603A"/>
    <w:rsid w:val="003C37C1"/>
    <w:rsid w:val="003D3E19"/>
    <w:rsid w:val="003D584B"/>
    <w:rsid w:val="003D6075"/>
    <w:rsid w:val="003D66CB"/>
    <w:rsid w:val="003E1241"/>
    <w:rsid w:val="003E6352"/>
    <w:rsid w:val="003F2E59"/>
    <w:rsid w:val="004106E2"/>
    <w:rsid w:val="0041475F"/>
    <w:rsid w:val="00425490"/>
    <w:rsid w:val="00425CDF"/>
    <w:rsid w:val="004424A6"/>
    <w:rsid w:val="00450C4D"/>
    <w:rsid w:val="004531D5"/>
    <w:rsid w:val="00465478"/>
    <w:rsid w:val="00476E6D"/>
    <w:rsid w:val="004812B0"/>
    <w:rsid w:val="00481868"/>
    <w:rsid w:val="00484E2A"/>
    <w:rsid w:val="004A201A"/>
    <w:rsid w:val="004A2EEC"/>
    <w:rsid w:val="004A32B3"/>
    <w:rsid w:val="004B60C1"/>
    <w:rsid w:val="004B68EB"/>
    <w:rsid w:val="004D07C7"/>
    <w:rsid w:val="004D1A38"/>
    <w:rsid w:val="004E4D89"/>
    <w:rsid w:val="004F100A"/>
    <w:rsid w:val="004F6970"/>
    <w:rsid w:val="0050396C"/>
    <w:rsid w:val="005073F2"/>
    <w:rsid w:val="005103AE"/>
    <w:rsid w:val="005160EA"/>
    <w:rsid w:val="00517677"/>
    <w:rsid w:val="005179BC"/>
    <w:rsid w:val="00517C81"/>
    <w:rsid w:val="00536CC6"/>
    <w:rsid w:val="005371CC"/>
    <w:rsid w:val="00537C3C"/>
    <w:rsid w:val="00541956"/>
    <w:rsid w:val="00541A08"/>
    <w:rsid w:val="00543FC5"/>
    <w:rsid w:val="00545DD7"/>
    <w:rsid w:val="00551524"/>
    <w:rsid w:val="00555292"/>
    <w:rsid w:val="00555DDC"/>
    <w:rsid w:val="00557838"/>
    <w:rsid w:val="00566669"/>
    <w:rsid w:val="00572F7A"/>
    <w:rsid w:val="00573DDD"/>
    <w:rsid w:val="005762DA"/>
    <w:rsid w:val="00577162"/>
    <w:rsid w:val="005845D4"/>
    <w:rsid w:val="00590DD4"/>
    <w:rsid w:val="005959E0"/>
    <w:rsid w:val="005B2792"/>
    <w:rsid w:val="005B4DB9"/>
    <w:rsid w:val="005C0B74"/>
    <w:rsid w:val="005C209F"/>
    <w:rsid w:val="005D2536"/>
    <w:rsid w:val="005E4409"/>
    <w:rsid w:val="005F24D1"/>
    <w:rsid w:val="005F4DF7"/>
    <w:rsid w:val="005F5844"/>
    <w:rsid w:val="005F737F"/>
    <w:rsid w:val="00603849"/>
    <w:rsid w:val="0060516D"/>
    <w:rsid w:val="00607E57"/>
    <w:rsid w:val="00611075"/>
    <w:rsid w:val="0061226A"/>
    <w:rsid w:val="00631D00"/>
    <w:rsid w:val="00634753"/>
    <w:rsid w:val="00641DE7"/>
    <w:rsid w:val="0065476C"/>
    <w:rsid w:val="00656E53"/>
    <w:rsid w:val="00663A6A"/>
    <w:rsid w:val="006654C5"/>
    <w:rsid w:val="00671547"/>
    <w:rsid w:val="00674FAD"/>
    <w:rsid w:val="006878A3"/>
    <w:rsid w:val="006A0B36"/>
    <w:rsid w:val="006A1E33"/>
    <w:rsid w:val="006A4626"/>
    <w:rsid w:val="006A7845"/>
    <w:rsid w:val="006B7F85"/>
    <w:rsid w:val="006C3ABD"/>
    <w:rsid w:val="006D11F3"/>
    <w:rsid w:val="006D1DAE"/>
    <w:rsid w:val="006D7DF4"/>
    <w:rsid w:val="006E0ABF"/>
    <w:rsid w:val="006E2DA0"/>
    <w:rsid w:val="006E37D6"/>
    <w:rsid w:val="006E6CDE"/>
    <w:rsid w:val="006F180F"/>
    <w:rsid w:val="006F37B7"/>
    <w:rsid w:val="007052E3"/>
    <w:rsid w:val="0071475A"/>
    <w:rsid w:val="007160DA"/>
    <w:rsid w:val="00722AF0"/>
    <w:rsid w:val="00723134"/>
    <w:rsid w:val="00723C6A"/>
    <w:rsid w:val="00726003"/>
    <w:rsid w:val="00727904"/>
    <w:rsid w:val="007376CE"/>
    <w:rsid w:val="00737F5C"/>
    <w:rsid w:val="00740F6B"/>
    <w:rsid w:val="00752E7B"/>
    <w:rsid w:val="00757FA4"/>
    <w:rsid w:val="00771620"/>
    <w:rsid w:val="00787BF1"/>
    <w:rsid w:val="00795991"/>
    <w:rsid w:val="007A20D5"/>
    <w:rsid w:val="007B4173"/>
    <w:rsid w:val="007B6D4C"/>
    <w:rsid w:val="007C28E4"/>
    <w:rsid w:val="007C5677"/>
    <w:rsid w:val="007D2911"/>
    <w:rsid w:val="008037F5"/>
    <w:rsid w:val="00804279"/>
    <w:rsid w:val="00805D19"/>
    <w:rsid w:val="00816C27"/>
    <w:rsid w:val="00817576"/>
    <w:rsid w:val="008200CF"/>
    <w:rsid w:val="00825A1A"/>
    <w:rsid w:val="00830814"/>
    <w:rsid w:val="00832224"/>
    <w:rsid w:val="0084025E"/>
    <w:rsid w:val="00840489"/>
    <w:rsid w:val="00843E6F"/>
    <w:rsid w:val="0086774A"/>
    <w:rsid w:val="008701D3"/>
    <w:rsid w:val="00873A53"/>
    <w:rsid w:val="00877F98"/>
    <w:rsid w:val="00884347"/>
    <w:rsid w:val="0089123C"/>
    <w:rsid w:val="00896E96"/>
    <w:rsid w:val="008B352B"/>
    <w:rsid w:val="008B3F57"/>
    <w:rsid w:val="008C22E9"/>
    <w:rsid w:val="008C2E70"/>
    <w:rsid w:val="008C40EA"/>
    <w:rsid w:val="008C7AB8"/>
    <w:rsid w:val="008D00CB"/>
    <w:rsid w:val="008D0D28"/>
    <w:rsid w:val="008D596D"/>
    <w:rsid w:val="008D795D"/>
    <w:rsid w:val="008E7933"/>
    <w:rsid w:val="008F6FE0"/>
    <w:rsid w:val="008F7B14"/>
    <w:rsid w:val="00900BFE"/>
    <w:rsid w:val="0091496B"/>
    <w:rsid w:val="00915ED8"/>
    <w:rsid w:val="00917DE5"/>
    <w:rsid w:val="00925621"/>
    <w:rsid w:val="009265D6"/>
    <w:rsid w:val="00926C2A"/>
    <w:rsid w:val="00932B18"/>
    <w:rsid w:val="00936860"/>
    <w:rsid w:val="009410B0"/>
    <w:rsid w:val="0094177C"/>
    <w:rsid w:val="00951565"/>
    <w:rsid w:val="00953762"/>
    <w:rsid w:val="00955AA4"/>
    <w:rsid w:val="00956BA3"/>
    <w:rsid w:val="00967A72"/>
    <w:rsid w:val="0097304C"/>
    <w:rsid w:val="00973DBB"/>
    <w:rsid w:val="00982235"/>
    <w:rsid w:val="00987060"/>
    <w:rsid w:val="009906AE"/>
    <w:rsid w:val="00990BF1"/>
    <w:rsid w:val="0099216A"/>
    <w:rsid w:val="009977F2"/>
    <w:rsid w:val="009B15FF"/>
    <w:rsid w:val="009B7CFD"/>
    <w:rsid w:val="009C296D"/>
    <w:rsid w:val="009D4A3A"/>
    <w:rsid w:val="009E60F8"/>
    <w:rsid w:val="009E759D"/>
    <w:rsid w:val="009F003C"/>
    <w:rsid w:val="009F055C"/>
    <w:rsid w:val="009F146C"/>
    <w:rsid w:val="009F60C7"/>
    <w:rsid w:val="00A01B11"/>
    <w:rsid w:val="00A02188"/>
    <w:rsid w:val="00A03526"/>
    <w:rsid w:val="00A177FC"/>
    <w:rsid w:val="00A24DE3"/>
    <w:rsid w:val="00A25506"/>
    <w:rsid w:val="00A31130"/>
    <w:rsid w:val="00A31AB7"/>
    <w:rsid w:val="00A3331D"/>
    <w:rsid w:val="00A358F0"/>
    <w:rsid w:val="00A37890"/>
    <w:rsid w:val="00A47D70"/>
    <w:rsid w:val="00A51E92"/>
    <w:rsid w:val="00A52077"/>
    <w:rsid w:val="00A55EBC"/>
    <w:rsid w:val="00A61F6C"/>
    <w:rsid w:val="00A66C1C"/>
    <w:rsid w:val="00A72F5B"/>
    <w:rsid w:val="00A7541A"/>
    <w:rsid w:val="00A80A5C"/>
    <w:rsid w:val="00A83B6E"/>
    <w:rsid w:val="00A87ADD"/>
    <w:rsid w:val="00A90375"/>
    <w:rsid w:val="00A93147"/>
    <w:rsid w:val="00A954B3"/>
    <w:rsid w:val="00AA7276"/>
    <w:rsid w:val="00AB4236"/>
    <w:rsid w:val="00AC1418"/>
    <w:rsid w:val="00AC76AF"/>
    <w:rsid w:val="00AD1265"/>
    <w:rsid w:val="00AD7BA9"/>
    <w:rsid w:val="00AE32A2"/>
    <w:rsid w:val="00B036E6"/>
    <w:rsid w:val="00B04B58"/>
    <w:rsid w:val="00B06661"/>
    <w:rsid w:val="00B14A59"/>
    <w:rsid w:val="00B26D45"/>
    <w:rsid w:val="00B32479"/>
    <w:rsid w:val="00B33F93"/>
    <w:rsid w:val="00B3749E"/>
    <w:rsid w:val="00B433B0"/>
    <w:rsid w:val="00B6745A"/>
    <w:rsid w:val="00B82F9F"/>
    <w:rsid w:val="00B84B45"/>
    <w:rsid w:val="00B935DF"/>
    <w:rsid w:val="00B95BE7"/>
    <w:rsid w:val="00BA4CF8"/>
    <w:rsid w:val="00BA5E5E"/>
    <w:rsid w:val="00BA7D12"/>
    <w:rsid w:val="00BB202F"/>
    <w:rsid w:val="00BB443B"/>
    <w:rsid w:val="00BB4ABE"/>
    <w:rsid w:val="00BB5AE1"/>
    <w:rsid w:val="00BB6329"/>
    <w:rsid w:val="00BC063D"/>
    <w:rsid w:val="00BC258A"/>
    <w:rsid w:val="00BC5453"/>
    <w:rsid w:val="00BC59CC"/>
    <w:rsid w:val="00BD2CC4"/>
    <w:rsid w:val="00BD6F52"/>
    <w:rsid w:val="00BE0857"/>
    <w:rsid w:val="00BE167A"/>
    <w:rsid w:val="00BE16D3"/>
    <w:rsid w:val="00BE288D"/>
    <w:rsid w:val="00BE32C3"/>
    <w:rsid w:val="00BE74D1"/>
    <w:rsid w:val="00BF6CF5"/>
    <w:rsid w:val="00BF791E"/>
    <w:rsid w:val="00C02101"/>
    <w:rsid w:val="00C04E5E"/>
    <w:rsid w:val="00C13EC6"/>
    <w:rsid w:val="00C226AF"/>
    <w:rsid w:val="00C23B3C"/>
    <w:rsid w:val="00C2631D"/>
    <w:rsid w:val="00C309A9"/>
    <w:rsid w:val="00C32E2C"/>
    <w:rsid w:val="00C41283"/>
    <w:rsid w:val="00C435B3"/>
    <w:rsid w:val="00C4406C"/>
    <w:rsid w:val="00C47AE9"/>
    <w:rsid w:val="00C51764"/>
    <w:rsid w:val="00C53A4B"/>
    <w:rsid w:val="00C5542F"/>
    <w:rsid w:val="00C55F13"/>
    <w:rsid w:val="00C74582"/>
    <w:rsid w:val="00C762C8"/>
    <w:rsid w:val="00C7636A"/>
    <w:rsid w:val="00C83846"/>
    <w:rsid w:val="00C946E5"/>
    <w:rsid w:val="00C95503"/>
    <w:rsid w:val="00C97D90"/>
    <w:rsid w:val="00CA1055"/>
    <w:rsid w:val="00CA2BD6"/>
    <w:rsid w:val="00CA515E"/>
    <w:rsid w:val="00CB36CF"/>
    <w:rsid w:val="00CC47D6"/>
    <w:rsid w:val="00CE3A66"/>
    <w:rsid w:val="00CF16B7"/>
    <w:rsid w:val="00CF4B95"/>
    <w:rsid w:val="00D01B1E"/>
    <w:rsid w:val="00D0313F"/>
    <w:rsid w:val="00D14B9F"/>
    <w:rsid w:val="00D162AF"/>
    <w:rsid w:val="00D215C2"/>
    <w:rsid w:val="00D23E28"/>
    <w:rsid w:val="00D27148"/>
    <w:rsid w:val="00D30E0E"/>
    <w:rsid w:val="00D33C12"/>
    <w:rsid w:val="00D3681B"/>
    <w:rsid w:val="00D41488"/>
    <w:rsid w:val="00D435F1"/>
    <w:rsid w:val="00D45305"/>
    <w:rsid w:val="00D54212"/>
    <w:rsid w:val="00D5533A"/>
    <w:rsid w:val="00D57973"/>
    <w:rsid w:val="00D6201C"/>
    <w:rsid w:val="00D82B79"/>
    <w:rsid w:val="00DA0A20"/>
    <w:rsid w:val="00DA3415"/>
    <w:rsid w:val="00DC20D3"/>
    <w:rsid w:val="00DC5EA4"/>
    <w:rsid w:val="00DC5EC7"/>
    <w:rsid w:val="00DF2273"/>
    <w:rsid w:val="00E007BF"/>
    <w:rsid w:val="00E024BD"/>
    <w:rsid w:val="00E15D7C"/>
    <w:rsid w:val="00E2200F"/>
    <w:rsid w:val="00E2453C"/>
    <w:rsid w:val="00E4624C"/>
    <w:rsid w:val="00E472DF"/>
    <w:rsid w:val="00E51E0E"/>
    <w:rsid w:val="00E620D9"/>
    <w:rsid w:val="00E667C8"/>
    <w:rsid w:val="00E67D6A"/>
    <w:rsid w:val="00E775F1"/>
    <w:rsid w:val="00E77DF6"/>
    <w:rsid w:val="00E81267"/>
    <w:rsid w:val="00E83500"/>
    <w:rsid w:val="00E83907"/>
    <w:rsid w:val="00E93639"/>
    <w:rsid w:val="00EA4E16"/>
    <w:rsid w:val="00EB11CB"/>
    <w:rsid w:val="00EB3D4D"/>
    <w:rsid w:val="00EB7CDE"/>
    <w:rsid w:val="00EC37CB"/>
    <w:rsid w:val="00ED5CBB"/>
    <w:rsid w:val="00EE5477"/>
    <w:rsid w:val="00EE6391"/>
    <w:rsid w:val="00EF242B"/>
    <w:rsid w:val="00EF75A2"/>
    <w:rsid w:val="00F00486"/>
    <w:rsid w:val="00F15681"/>
    <w:rsid w:val="00F160F2"/>
    <w:rsid w:val="00F20F99"/>
    <w:rsid w:val="00F347D7"/>
    <w:rsid w:val="00F377BE"/>
    <w:rsid w:val="00F45204"/>
    <w:rsid w:val="00F46B25"/>
    <w:rsid w:val="00F523AD"/>
    <w:rsid w:val="00F677B8"/>
    <w:rsid w:val="00F76018"/>
    <w:rsid w:val="00F97CDE"/>
    <w:rsid w:val="00FA30D3"/>
    <w:rsid w:val="00FA460A"/>
    <w:rsid w:val="00FA4B99"/>
    <w:rsid w:val="00FA63B6"/>
    <w:rsid w:val="00FB2FB4"/>
    <w:rsid w:val="00FB758B"/>
    <w:rsid w:val="00FB77AE"/>
    <w:rsid w:val="00FC1150"/>
    <w:rsid w:val="00FC59A8"/>
    <w:rsid w:val="00FC6BFA"/>
    <w:rsid w:val="00FD078F"/>
    <w:rsid w:val="00FD5D6E"/>
    <w:rsid w:val="00FD6874"/>
    <w:rsid w:val="00FF0E80"/>
    <w:rsid w:val="00FF16A4"/>
    <w:rsid w:val="00FF3CA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17C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17C8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7C81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rsid w:val="00517C81"/>
    <w:rPr>
      <w:color w:val="0066CC"/>
      <w:u w:val="single"/>
    </w:rPr>
  </w:style>
  <w:style w:type="character" w:customStyle="1" w:styleId="a5">
    <w:name w:val="Колонтитул_"/>
    <w:basedOn w:val="a0"/>
    <w:link w:val="a6"/>
    <w:rsid w:val="00517C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Колонтитул + 9;5 pt"/>
    <w:basedOn w:val="a5"/>
    <w:rsid w:val="00517C8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6">
    <w:name w:val="Колонтитул"/>
    <w:basedOn w:val="a"/>
    <w:link w:val="a5"/>
    <w:rsid w:val="00517C8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"/>
    <w:basedOn w:val="a0"/>
    <w:rsid w:val="00517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E15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0">
    <w:name w:val="Основной текст (4)"/>
    <w:basedOn w:val="a0"/>
    <w:rsid w:val="00E15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Candara12pt0pt">
    <w:name w:val="Основной текст (4) + Candara;12 pt;Интервал 0 pt"/>
    <w:basedOn w:val="4"/>
    <w:rsid w:val="00E15D7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1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D7C"/>
  </w:style>
  <w:style w:type="paragraph" w:styleId="a9">
    <w:name w:val="footer"/>
    <w:basedOn w:val="a"/>
    <w:link w:val="aa"/>
    <w:uiPriority w:val="99"/>
    <w:unhideWhenUsed/>
    <w:rsid w:val="00E1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D7C"/>
  </w:style>
  <w:style w:type="paragraph" w:styleId="ab">
    <w:name w:val="Balloon Text"/>
    <w:basedOn w:val="a"/>
    <w:link w:val="ac"/>
    <w:uiPriority w:val="99"/>
    <w:semiHidden/>
    <w:unhideWhenUsed/>
    <w:rsid w:val="0098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223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A784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E007B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07B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07B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07B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07BF"/>
    <w:rPr>
      <w:b/>
      <w:bCs/>
      <w:sz w:val="20"/>
      <w:szCs w:val="20"/>
    </w:rPr>
  </w:style>
  <w:style w:type="character" w:customStyle="1" w:styleId="blk">
    <w:name w:val="blk"/>
    <w:basedOn w:val="a0"/>
    <w:rsid w:val="00EE5477"/>
    <w:rPr>
      <w:vanish w:val="0"/>
      <w:webHidden w:val="0"/>
      <w:specVanish w:val="0"/>
    </w:rPr>
  </w:style>
  <w:style w:type="paragraph" w:customStyle="1" w:styleId="Style33">
    <w:name w:val="Style33"/>
    <w:basedOn w:val="a"/>
    <w:rsid w:val="00C13EC6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9">
    <w:name w:val="CharStyle19"/>
    <w:rsid w:val="000C55C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f3">
    <w:name w:val="Revision"/>
    <w:hidden/>
    <w:uiPriority w:val="99"/>
    <w:semiHidden/>
    <w:rsid w:val="00FF62CA"/>
    <w:pPr>
      <w:spacing w:after="0" w:line="240" w:lineRule="auto"/>
    </w:pPr>
  </w:style>
  <w:style w:type="character" w:customStyle="1" w:styleId="blk1">
    <w:name w:val="blk1"/>
    <w:basedOn w:val="a0"/>
    <w:rsid w:val="00CF4B95"/>
    <w:rPr>
      <w:vanish w:val="0"/>
      <w:webHidden w:val="0"/>
      <w:specVanish w:val="0"/>
    </w:rPr>
  </w:style>
  <w:style w:type="paragraph" w:customStyle="1" w:styleId="SMS">
    <w:name w:val="SMS_Текст"/>
    <w:basedOn w:val="a"/>
    <w:link w:val="SMS0"/>
    <w:qFormat/>
    <w:rsid w:val="00BE74D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SMS0">
    <w:name w:val="SMS_Текст Знак"/>
    <w:link w:val="SMS"/>
    <w:rsid w:val="00BE74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7A49-3C31-4CC2-BA2E-D9764938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confe</dc:creator>
  <cp:lastModifiedBy>yaa</cp:lastModifiedBy>
  <cp:revision>4</cp:revision>
  <cp:lastPrinted>2021-02-03T09:04:00Z</cp:lastPrinted>
  <dcterms:created xsi:type="dcterms:W3CDTF">2021-02-03T08:59:00Z</dcterms:created>
  <dcterms:modified xsi:type="dcterms:W3CDTF">2021-02-03T09:04:00Z</dcterms:modified>
</cp:coreProperties>
</file>